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6162" w14:textId="77777777" w:rsidR="00574A3E" w:rsidRPr="00A11C48" w:rsidRDefault="00574A3E">
      <w:pPr>
        <w:rPr>
          <w:rFonts w:cs="Arial"/>
          <w:szCs w:val="20"/>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2854"/>
        <w:gridCol w:w="709"/>
        <w:gridCol w:w="1417"/>
        <w:gridCol w:w="450"/>
        <w:gridCol w:w="1663"/>
      </w:tblGrid>
      <w:tr w:rsidR="00574A3E" w:rsidRPr="00A11C48" w14:paraId="4B23B38D" w14:textId="77777777" w:rsidTr="00574A3E">
        <w:tc>
          <w:tcPr>
            <w:tcW w:w="1961" w:type="dxa"/>
          </w:tcPr>
          <w:p w14:paraId="62185B88" w14:textId="3E0386C9" w:rsidR="00574A3E" w:rsidRPr="00A11C48" w:rsidRDefault="00574A3E" w:rsidP="00574A3E">
            <w:pPr>
              <w:ind w:left="-110"/>
              <w:rPr>
                <w:rFonts w:cs="Arial"/>
              </w:rPr>
            </w:pPr>
            <w:r w:rsidRPr="00A11C48">
              <w:rPr>
                <w:rFonts w:cs="Arial"/>
              </w:rPr>
              <w:t>Justiitsministeerium</w:t>
            </w:r>
          </w:p>
        </w:tc>
        <w:tc>
          <w:tcPr>
            <w:tcW w:w="2854" w:type="dxa"/>
          </w:tcPr>
          <w:p w14:paraId="5B7C57BB" w14:textId="77777777" w:rsidR="00574A3E" w:rsidRPr="00A11C48" w:rsidRDefault="00574A3E" w:rsidP="00574A3E">
            <w:pPr>
              <w:rPr>
                <w:rFonts w:cs="Arial"/>
              </w:rPr>
            </w:pPr>
          </w:p>
        </w:tc>
        <w:tc>
          <w:tcPr>
            <w:tcW w:w="709" w:type="dxa"/>
          </w:tcPr>
          <w:p w14:paraId="76C0EDDE" w14:textId="34DEF6FC" w:rsidR="00574A3E" w:rsidRPr="00A11C48" w:rsidRDefault="00574A3E" w:rsidP="00574A3E">
            <w:pPr>
              <w:rPr>
                <w:rFonts w:cs="Arial"/>
              </w:rPr>
            </w:pPr>
            <w:r w:rsidRPr="00A11C48">
              <w:rPr>
                <w:rFonts w:cs="Arial"/>
              </w:rPr>
              <w:t>Teie</w:t>
            </w:r>
          </w:p>
        </w:tc>
        <w:tc>
          <w:tcPr>
            <w:tcW w:w="1417" w:type="dxa"/>
          </w:tcPr>
          <w:p w14:paraId="4C3E8D48" w14:textId="3E064105" w:rsidR="00574A3E" w:rsidRPr="00A11C48" w:rsidRDefault="00574A3E" w:rsidP="00574A3E">
            <w:pPr>
              <w:rPr>
                <w:rFonts w:cs="Arial"/>
              </w:rPr>
            </w:pPr>
            <w:r w:rsidRPr="00A11C48">
              <w:rPr>
                <w:rFonts w:cs="Arial"/>
              </w:rPr>
              <w:t>20.11.2024</w:t>
            </w:r>
          </w:p>
        </w:tc>
        <w:tc>
          <w:tcPr>
            <w:tcW w:w="450" w:type="dxa"/>
          </w:tcPr>
          <w:p w14:paraId="16BECFA9" w14:textId="2CCF2792" w:rsidR="00574A3E" w:rsidRPr="00A11C48" w:rsidRDefault="00574A3E" w:rsidP="00574A3E">
            <w:pPr>
              <w:jc w:val="right"/>
              <w:rPr>
                <w:rFonts w:cs="Arial"/>
              </w:rPr>
            </w:pPr>
            <w:r w:rsidRPr="00A11C48">
              <w:rPr>
                <w:rFonts w:cs="Arial"/>
              </w:rPr>
              <w:t>nr </w:t>
            </w:r>
          </w:p>
        </w:tc>
        <w:tc>
          <w:tcPr>
            <w:tcW w:w="1663" w:type="dxa"/>
          </w:tcPr>
          <w:p w14:paraId="31314B54" w14:textId="52285AAA" w:rsidR="00574A3E" w:rsidRPr="00A11C48" w:rsidRDefault="00574A3E" w:rsidP="00574A3E">
            <w:pPr>
              <w:rPr>
                <w:rFonts w:cs="Arial"/>
              </w:rPr>
            </w:pPr>
            <w:r w:rsidRPr="00A11C48">
              <w:rPr>
                <w:rFonts w:cs="Arial"/>
              </w:rPr>
              <w:t>8-1/8228-1</w:t>
            </w:r>
          </w:p>
        </w:tc>
      </w:tr>
      <w:tr w:rsidR="00574A3E" w:rsidRPr="00A11C48" w14:paraId="0B9A20C9" w14:textId="77777777" w:rsidTr="00574A3E">
        <w:tc>
          <w:tcPr>
            <w:tcW w:w="1961" w:type="dxa"/>
          </w:tcPr>
          <w:p w14:paraId="33AC007D" w14:textId="77777777" w:rsidR="00574A3E" w:rsidRPr="00A11C48" w:rsidRDefault="00574A3E" w:rsidP="00574A3E">
            <w:pPr>
              <w:rPr>
                <w:rFonts w:cs="Arial"/>
              </w:rPr>
            </w:pPr>
          </w:p>
        </w:tc>
        <w:tc>
          <w:tcPr>
            <w:tcW w:w="2854" w:type="dxa"/>
          </w:tcPr>
          <w:p w14:paraId="689B9433" w14:textId="77777777" w:rsidR="00574A3E" w:rsidRPr="00A11C48" w:rsidRDefault="00574A3E" w:rsidP="00574A3E">
            <w:pPr>
              <w:rPr>
                <w:rFonts w:cs="Arial"/>
              </w:rPr>
            </w:pPr>
          </w:p>
        </w:tc>
        <w:tc>
          <w:tcPr>
            <w:tcW w:w="709" w:type="dxa"/>
          </w:tcPr>
          <w:p w14:paraId="55AD3254" w14:textId="6E9E6D24" w:rsidR="00574A3E" w:rsidRPr="00A11C48" w:rsidRDefault="00574A3E" w:rsidP="00574A3E">
            <w:pPr>
              <w:rPr>
                <w:rFonts w:cs="Arial"/>
              </w:rPr>
            </w:pPr>
            <w:r w:rsidRPr="00A11C48">
              <w:rPr>
                <w:rFonts w:cs="Arial"/>
              </w:rPr>
              <w:t>Meie</w:t>
            </w:r>
          </w:p>
        </w:tc>
        <w:tc>
          <w:tcPr>
            <w:tcW w:w="1417" w:type="dxa"/>
          </w:tcPr>
          <w:p w14:paraId="33914BBC" w14:textId="00A7C8D5" w:rsidR="00574A3E" w:rsidRPr="00A11C48" w:rsidRDefault="00574A3E" w:rsidP="00574A3E">
            <w:pPr>
              <w:rPr>
                <w:rFonts w:cs="Arial"/>
              </w:rPr>
            </w:pPr>
            <w:r w:rsidRPr="00A11C48">
              <w:rPr>
                <w:rFonts w:cs="Arial"/>
              </w:rPr>
              <w:t>02.12.2024</w:t>
            </w:r>
          </w:p>
        </w:tc>
        <w:tc>
          <w:tcPr>
            <w:tcW w:w="450" w:type="dxa"/>
          </w:tcPr>
          <w:p w14:paraId="681331A7" w14:textId="0A31A947" w:rsidR="00574A3E" w:rsidRPr="00642878" w:rsidRDefault="00574A3E" w:rsidP="00574A3E">
            <w:pPr>
              <w:jc w:val="right"/>
              <w:rPr>
                <w:rFonts w:cs="Arial"/>
              </w:rPr>
            </w:pPr>
            <w:r w:rsidRPr="00642878">
              <w:rPr>
                <w:rFonts w:cs="Arial"/>
              </w:rPr>
              <w:t>nr </w:t>
            </w:r>
          </w:p>
        </w:tc>
        <w:tc>
          <w:tcPr>
            <w:tcW w:w="1663" w:type="dxa"/>
          </w:tcPr>
          <w:p w14:paraId="4364C303" w14:textId="41BDF64A" w:rsidR="00574A3E" w:rsidRPr="00642878" w:rsidRDefault="00642878" w:rsidP="00574A3E">
            <w:pPr>
              <w:rPr>
                <w:rFonts w:cs="Arial"/>
              </w:rPr>
            </w:pPr>
            <w:r w:rsidRPr="00642878">
              <w:rPr>
                <w:rFonts w:cs="Arial"/>
              </w:rPr>
              <w:t>10-3/175</w:t>
            </w:r>
          </w:p>
        </w:tc>
      </w:tr>
    </w:tbl>
    <w:p w14:paraId="35BC02A5" w14:textId="77777777" w:rsidR="005F40CD" w:rsidRPr="00A11C48" w:rsidRDefault="005F40CD" w:rsidP="00574A3E">
      <w:pPr>
        <w:rPr>
          <w:rFonts w:cs="Arial"/>
          <w:szCs w:val="20"/>
        </w:rPr>
      </w:pPr>
    </w:p>
    <w:p w14:paraId="5964E1AB" w14:textId="77777777" w:rsidR="00574A3E" w:rsidRPr="00A11C48" w:rsidRDefault="00574A3E" w:rsidP="00574A3E">
      <w:pPr>
        <w:rPr>
          <w:rFonts w:cs="Arial"/>
          <w:szCs w:val="20"/>
        </w:rPr>
      </w:pPr>
    </w:p>
    <w:p w14:paraId="1F7D9AED" w14:textId="77777777" w:rsidR="00A11C48" w:rsidRDefault="00A11C48" w:rsidP="00574A3E">
      <w:pPr>
        <w:rPr>
          <w:rFonts w:cs="Arial"/>
          <w:b/>
          <w:szCs w:val="20"/>
        </w:rPr>
      </w:pPr>
    </w:p>
    <w:p w14:paraId="4439A977" w14:textId="77777777" w:rsidR="00F44DF0" w:rsidRDefault="00F44DF0" w:rsidP="00574A3E">
      <w:pPr>
        <w:rPr>
          <w:rFonts w:cs="Arial"/>
          <w:b/>
          <w:szCs w:val="20"/>
        </w:rPr>
      </w:pPr>
    </w:p>
    <w:p w14:paraId="024B2E19" w14:textId="77777777" w:rsidR="00A11C48" w:rsidRDefault="00A11C48" w:rsidP="00574A3E">
      <w:pPr>
        <w:rPr>
          <w:rFonts w:cs="Arial"/>
          <w:b/>
          <w:szCs w:val="20"/>
        </w:rPr>
      </w:pPr>
    </w:p>
    <w:p w14:paraId="5CA8162F" w14:textId="30AD4560" w:rsidR="00574A3E" w:rsidRPr="00A11C48" w:rsidRDefault="00574A3E" w:rsidP="00574A3E">
      <w:pPr>
        <w:rPr>
          <w:rFonts w:cs="Arial"/>
          <w:b/>
          <w:szCs w:val="20"/>
        </w:rPr>
      </w:pPr>
      <w:r w:rsidRPr="00A11C48">
        <w:rPr>
          <w:rFonts w:cs="Arial"/>
          <w:b/>
          <w:szCs w:val="20"/>
        </w:rPr>
        <w:t xml:space="preserve">Arvamus </w:t>
      </w:r>
      <w:bookmarkStart w:id="0" w:name="_Hlk177739338"/>
      <w:r w:rsidRPr="00A11C48">
        <w:rPr>
          <w:rFonts w:cs="Arial"/>
          <w:b/>
          <w:szCs w:val="20"/>
        </w:rPr>
        <w:t xml:space="preserve">tsiviilkohtumenetluse seadustiku muutmise seaduse eelnõu </w:t>
      </w:r>
      <w:bookmarkEnd w:id="0"/>
      <w:r w:rsidRPr="00A11C48">
        <w:rPr>
          <w:rFonts w:cs="Arial"/>
          <w:b/>
          <w:szCs w:val="20"/>
        </w:rPr>
        <w:t>kohta</w:t>
      </w:r>
    </w:p>
    <w:p w14:paraId="3767DE6B" w14:textId="77777777" w:rsidR="00574A3E" w:rsidRPr="00A11C48" w:rsidRDefault="00574A3E" w:rsidP="00574A3E">
      <w:pPr>
        <w:rPr>
          <w:rFonts w:cs="Arial"/>
          <w:b/>
          <w:szCs w:val="20"/>
        </w:rPr>
      </w:pPr>
    </w:p>
    <w:p w14:paraId="26CC8471" w14:textId="77777777" w:rsidR="00574A3E" w:rsidRPr="00A11C48" w:rsidRDefault="00574A3E" w:rsidP="00574A3E">
      <w:pPr>
        <w:rPr>
          <w:rFonts w:cs="Arial"/>
          <w:bCs/>
          <w:szCs w:val="20"/>
        </w:rPr>
      </w:pPr>
    </w:p>
    <w:p w14:paraId="0F01A72A" w14:textId="77777777" w:rsidR="00574A3E" w:rsidRPr="00A11C48" w:rsidRDefault="00574A3E" w:rsidP="00574A3E">
      <w:pPr>
        <w:rPr>
          <w:rFonts w:cs="Arial"/>
          <w:bCs/>
          <w:szCs w:val="20"/>
        </w:rPr>
      </w:pPr>
      <w:r w:rsidRPr="00A11C48">
        <w:rPr>
          <w:rFonts w:cs="Arial"/>
          <w:bCs/>
          <w:szCs w:val="20"/>
        </w:rPr>
        <w:t>Lugupeetud minister</w:t>
      </w:r>
    </w:p>
    <w:p w14:paraId="4D76AE01" w14:textId="77777777" w:rsidR="00574A3E" w:rsidRPr="00A11C48" w:rsidRDefault="00574A3E" w:rsidP="00574A3E">
      <w:pPr>
        <w:rPr>
          <w:rFonts w:cs="Arial"/>
          <w:bCs/>
          <w:szCs w:val="20"/>
        </w:rPr>
      </w:pPr>
    </w:p>
    <w:p w14:paraId="03A9F14A" w14:textId="77777777" w:rsidR="00F44DF0" w:rsidRDefault="00F44DF0" w:rsidP="00574A3E">
      <w:pPr>
        <w:jc w:val="both"/>
        <w:rPr>
          <w:rFonts w:cs="Arial"/>
          <w:bCs/>
          <w:szCs w:val="20"/>
        </w:rPr>
      </w:pPr>
    </w:p>
    <w:p w14:paraId="5CFE3B98" w14:textId="30C1536B" w:rsidR="00574A3E" w:rsidRPr="00A11C48" w:rsidRDefault="00574A3E" w:rsidP="00574A3E">
      <w:pPr>
        <w:jc w:val="both"/>
        <w:rPr>
          <w:rFonts w:cs="Arial"/>
          <w:bCs/>
          <w:szCs w:val="20"/>
        </w:rPr>
      </w:pPr>
      <w:r w:rsidRPr="00A11C48">
        <w:rPr>
          <w:rFonts w:cs="Arial"/>
          <w:bCs/>
          <w:szCs w:val="20"/>
        </w:rPr>
        <w:t>Täname Teid võimaluse eest avaldada arvamust tsiviilkohtumenetluse seadustiku muutmise seaduse eelnõu kohta.</w:t>
      </w:r>
    </w:p>
    <w:p w14:paraId="20413141" w14:textId="77777777" w:rsidR="00574A3E" w:rsidRPr="00A11C48" w:rsidRDefault="00574A3E" w:rsidP="00574A3E">
      <w:pPr>
        <w:jc w:val="both"/>
        <w:rPr>
          <w:rFonts w:cs="Arial"/>
          <w:bCs/>
          <w:szCs w:val="20"/>
        </w:rPr>
      </w:pPr>
    </w:p>
    <w:p w14:paraId="000B47D5" w14:textId="6F67DECA" w:rsidR="00574A3E" w:rsidRPr="00A11C48" w:rsidRDefault="00574A3E" w:rsidP="00574A3E">
      <w:pPr>
        <w:jc w:val="both"/>
        <w:rPr>
          <w:rFonts w:cs="Arial"/>
          <w:bCs/>
          <w:szCs w:val="20"/>
        </w:rPr>
      </w:pPr>
      <w:r w:rsidRPr="00A11C48">
        <w:rPr>
          <w:rFonts w:cs="Arial"/>
          <w:bCs/>
          <w:szCs w:val="20"/>
        </w:rPr>
        <w:t xml:space="preserve">Tallinna Ringkonnakohus </w:t>
      </w:r>
      <w:r w:rsidR="00A11C48">
        <w:rPr>
          <w:rFonts w:cs="Arial"/>
          <w:bCs/>
          <w:szCs w:val="20"/>
        </w:rPr>
        <w:t xml:space="preserve">toetab </w:t>
      </w:r>
      <w:r w:rsidRPr="00A11C48">
        <w:rPr>
          <w:rFonts w:cs="Arial"/>
          <w:bCs/>
          <w:szCs w:val="20"/>
        </w:rPr>
        <w:t>üldjoontes eelnõu</w:t>
      </w:r>
      <w:r w:rsidR="00A11C48">
        <w:rPr>
          <w:rFonts w:cs="Arial"/>
          <w:bCs/>
          <w:szCs w:val="20"/>
        </w:rPr>
        <w:t>s välja pakutud lahendusi</w:t>
      </w:r>
      <w:r w:rsidRPr="00A11C48">
        <w:rPr>
          <w:rFonts w:cs="Arial"/>
          <w:bCs/>
          <w:szCs w:val="20"/>
        </w:rPr>
        <w:t xml:space="preserve">, kuid teeb eelnõu kohta järgmised ettepanekud, </w:t>
      </w:r>
      <w:r w:rsidR="00A11C48">
        <w:rPr>
          <w:rFonts w:cs="Arial"/>
          <w:bCs/>
          <w:szCs w:val="20"/>
        </w:rPr>
        <w:t xml:space="preserve">võttes muu hulgas arvesse Teie </w:t>
      </w:r>
      <w:r w:rsidRPr="00A11C48">
        <w:rPr>
          <w:rFonts w:cs="Arial"/>
          <w:bCs/>
          <w:szCs w:val="20"/>
        </w:rPr>
        <w:t xml:space="preserve">14.11.2024 </w:t>
      </w:r>
      <w:r w:rsidR="00A11C48">
        <w:rPr>
          <w:rFonts w:cs="Arial"/>
          <w:bCs/>
          <w:szCs w:val="20"/>
        </w:rPr>
        <w:t xml:space="preserve">kirjas nr 8-3/5169-11 esitatud </w:t>
      </w:r>
      <w:r w:rsidRPr="00A11C48">
        <w:rPr>
          <w:rFonts w:cs="Arial"/>
          <w:bCs/>
          <w:szCs w:val="20"/>
        </w:rPr>
        <w:t>kohtumenetluse tõhustamise ettepanekuid.</w:t>
      </w:r>
    </w:p>
    <w:p w14:paraId="4BCF7937" w14:textId="77777777" w:rsidR="00574A3E" w:rsidRPr="00A11C48" w:rsidRDefault="00574A3E" w:rsidP="00574A3E">
      <w:pPr>
        <w:jc w:val="both"/>
        <w:rPr>
          <w:rFonts w:cs="Arial"/>
          <w:b/>
          <w:szCs w:val="20"/>
        </w:rPr>
      </w:pPr>
    </w:p>
    <w:p w14:paraId="716A0DB8" w14:textId="10EBF20B" w:rsidR="00574A3E" w:rsidRPr="00A11C48" w:rsidRDefault="00A11C48" w:rsidP="00574A3E">
      <w:pPr>
        <w:pStyle w:val="Loendilik"/>
        <w:numPr>
          <w:ilvl w:val="0"/>
          <w:numId w:val="2"/>
        </w:numPr>
        <w:jc w:val="both"/>
        <w:rPr>
          <w:rFonts w:ascii="Arial" w:hAnsi="Arial" w:cs="Arial"/>
          <w:bCs/>
          <w:sz w:val="20"/>
          <w:szCs w:val="20"/>
        </w:rPr>
      </w:pPr>
      <w:r>
        <w:rPr>
          <w:rFonts w:ascii="Arial" w:hAnsi="Arial" w:cs="Arial"/>
          <w:bCs/>
          <w:sz w:val="20"/>
          <w:szCs w:val="20"/>
        </w:rPr>
        <w:t>Eelnõu § 1 p</w:t>
      </w:r>
      <w:r w:rsidR="00574A3E" w:rsidRPr="00A11C48">
        <w:rPr>
          <w:rFonts w:ascii="Arial" w:hAnsi="Arial" w:cs="Arial"/>
          <w:bCs/>
          <w:sz w:val="20"/>
          <w:szCs w:val="20"/>
        </w:rPr>
        <w:t>unkt</w:t>
      </w:r>
      <w:r>
        <w:rPr>
          <w:rFonts w:ascii="Arial" w:hAnsi="Arial" w:cs="Arial"/>
          <w:bCs/>
          <w:sz w:val="20"/>
          <w:szCs w:val="20"/>
        </w:rPr>
        <w:t>iga</w:t>
      </w:r>
      <w:r w:rsidR="00574A3E" w:rsidRPr="00A11C48">
        <w:rPr>
          <w:rFonts w:ascii="Arial" w:hAnsi="Arial" w:cs="Arial"/>
          <w:bCs/>
          <w:sz w:val="20"/>
          <w:szCs w:val="20"/>
        </w:rPr>
        <w:t xml:space="preserve"> 8 </w:t>
      </w:r>
      <w:proofErr w:type="spellStart"/>
      <w:r w:rsidR="00574A3E" w:rsidRPr="00A11C48">
        <w:rPr>
          <w:rFonts w:ascii="Arial" w:hAnsi="Arial" w:cs="Arial"/>
          <w:bCs/>
          <w:sz w:val="20"/>
          <w:szCs w:val="20"/>
        </w:rPr>
        <w:t>TsMS</w:t>
      </w:r>
      <w:proofErr w:type="spellEnd"/>
      <w:r w:rsidR="00574A3E" w:rsidRPr="00A11C48">
        <w:rPr>
          <w:rFonts w:ascii="Arial" w:hAnsi="Arial" w:cs="Arial"/>
          <w:bCs/>
          <w:sz w:val="20"/>
          <w:szCs w:val="20"/>
        </w:rPr>
        <w:t xml:space="preserve"> § 666 </w:t>
      </w:r>
      <w:r>
        <w:rPr>
          <w:rFonts w:ascii="Arial" w:hAnsi="Arial" w:cs="Arial"/>
          <w:bCs/>
          <w:sz w:val="20"/>
          <w:szCs w:val="20"/>
        </w:rPr>
        <w:t xml:space="preserve">lõikesse 3 lisatavas teises lauses sisalduvasse sätete loetelusse võiks </w:t>
      </w:r>
      <w:r w:rsidR="00574A3E" w:rsidRPr="00A11C48">
        <w:rPr>
          <w:rFonts w:ascii="Arial" w:hAnsi="Arial" w:cs="Arial"/>
          <w:bCs/>
          <w:sz w:val="20"/>
          <w:szCs w:val="20"/>
        </w:rPr>
        <w:t>lisada § 475 lg 1 p 15³ (</w:t>
      </w:r>
      <w:r w:rsidRPr="00A11C48">
        <w:rPr>
          <w:rFonts w:ascii="Arial" w:hAnsi="Arial" w:cs="Arial"/>
          <w:bCs/>
          <w:sz w:val="20"/>
          <w:szCs w:val="20"/>
        </w:rPr>
        <w:t>nõude täitmise aegumise tõttu täitemenetluse lõpetamise avalduse lahendamine</w:t>
      </w:r>
      <w:r w:rsidR="00574A3E" w:rsidRPr="00A11C48">
        <w:rPr>
          <w:rFonts w:ascii="Arial" w:hAnsi="Arial" w:cs="Arial"/>
          <w:bCs/>
          <w:sz w:val="20"/>
          <w:szCs w:val="20"/>
        </w:rPr>
        <w:t>)</w:t>
      </w:r>
    </w:p>
    <w:p w14:paraId="0C9D320D" w14:textId="68B6951A" w:rsidR="00574A3E" w:rsidRPr="00A11C48" w:rsidRDefault="00A11C48" w:rsidP="00574A3E">
      <w:pPr>
        <w:jc w:val="both"/>
        <w:rPr>
          <w:rFonts w:cs="Arial"/>
          <w:bCs/>
          <w:szCs w:val="20"/>
        </w:rPr>
      </w:pPr>
      <w:r>
        <w:rPr>
          <w:rFonts w:cs="Arial"/>
          <w:bCs/>
          <w:szCs w:val="20"/>
        </w:rPr>
        <w:t>Põhjendus: k</w:t>
      </w:r>
      <w:r w:rsidR="00574A3E" w:rsidRPr="00A11C48">
        <w:rPr>
          <w:rFonts w:cs="Arial"/>
          <w:bCs/>
          <w:szCs w:val="20"/>
        </w:rPr>
        <w:t xml:space="preserve">ohtumenetluse tõhustamise ettepanekute </w:t>
      </w:r>
      <w:r>
        <w:rPr>
          <w:rFonts w:cs="Arial"/>
          <w:bCs/>
          <w:szCs w:val="20"/>
        </w:rPr>
        <w:t xml:space="preserve">kohaselt kavandatakse </w:t>
      </w:r>
      <w:r w:rsidR="00D00630">
        <w:rPr>
          <w:rFonts w:cs="Arial"/>
          <w:bCs/>
          <w:szCs w:val="20"/>
        </w:rPr>
        <w:t xml:space="preserve">sedalaadi asjade </w:t>
      </w:r>
      <w:r w:rsidR="00574A3E" w:rsidRPr="00A11C48">
        <w:rPr>
          <w:rFonts w:cs="Arial"/>
          <w:bCs/>
          <w:szCs w:val="20"/>
        </w:rPr>
        <w:t>kohtust välja</w:t>
      </w:r>
      <w:r w:rsidR="00D00630">
        <w:rPr>
          <w:rFonts w:cs="Arial"/>
          <w:bCs/>
          <w:szCs w:val="20"/>
        </w:rPr>
        <w:t xml:space="preserve"> viimist</w:t>
      </w:r>
      <w:r w:rsidR="00574A3E" w:rsidRPr="00A11C48">
        <w:rPr>
          <w:rFonts w:cs="Arial"/>
          <w:bCs/>
          <w:szCs w:val="20"/>
        </w:rPr>
        <w:t xml:space="preserve">, </w:t>
      </w:r>
      <w:r w:rsidR="00D00630">
        <w:rPr>
          <w:rFonts w:cs="Arial"/>
          <w:bCs/>
          <w:szCs w:val="20"/>
        </w:rPr>
        <w:t xml:space="preserve">ent </w:t>
      </w:r>
      <w:r w:rsidR="00574A3E" w:rsidRPr="00A11C48">
        <w:rPr>
          <w:rFonts w:cs="Arial"/>
          <w:bCs/>
          <w:szCs w:val="20"/>
        </w:rPr>
        <w:t>praegu</w:t>
      </w:r>
      <w:r w:rsidR="00D00630">
        <w:rPr>
          <w:rFonts w:cs="Arial"/>
          <w:bCs/>
          <w:szCs w:val="20"/>
        </w:rPr>
        <w:t>gi</w:t>
      </w:r>
      <w:r w:rsidR="00574A3E" w:rsidRPr="00A11C48">
        <w:rPr>
          <w:rFonts w:cs="Arial"/>
          <w:bCs/>
          <w:szCs w:val="20"/>
        </w:rPr>
        <w:t xml:space="preserve"> ei ole need sedavõrd olulised ja keerukad, et </w:t>
      </w:r>
      <w:r w:rsidR="00D00630">
        <w:rPr>
          <w:rFonts w:cs="Arial"/>
          <w:bCs/>
          <w:szCs w:val="20"/>
        </w:rPr>
        <w:t xml:space="preserve">neid </w:t>
      </w:r>
      <w:r w:rsidR="00574A3E" w:rsidRPr="00A11C48">
        <w:rPr>
          <w:rFonts w:cs="Arial"/>
          <w:bCs/>
          <w:szCs w:val="20"/>
        </w:rPr>
        <w:t xml:space="preserve">peaks lahendama </w:t>
      </w:r>
      <w:r w:rsidR="00D00630">
        <w:rPr>
          <w:rFonts w:cs="Arial"/>
          <w:bCs/>
          <w:szCs w:val="20"/>
        </w:rPr>
        <w:t xml:space="preserve">kolmeliikmelises </w:t>
      </w:r>
      <w:r w:rsidR="00574A3E" w:rsidRPr="00A11C48">
        <w:rPr>
          <w:rFonts w:cs="Arial"/>
          <w:bCs/>
          <w:szCs w:val="20"/>
        </w:rPr>
        <w:t xml:space="preserve">koosseisus. Pakutud täiendus ei muuda eelnõu mõtet, eesmärki ega ulatust. Kui see täiendus teha, siis saab hiljem vastavate asjade kohtust välja viimisel (st </w:t>
      </w:r>
      <w:proofErr w:type="spellStart"/>
      <w:r w:rsidR="00574A3E" w:rsidRPr="00A11C48">
        <w:rPr>
          <w:rFonts w:cs="Arial"/>
          <w:bCs/>
          <w:szCs w:val="20"/>
        </w:rPr>
        <w:t>TsMS</w:t>
      </w:r>
      <w:proofErr w:type="spellEnd"/>
      <w:r w:rsidR="00574A3E" w:rsidRPr="00A11C48">
        <w:rPr>
          <w:rFonts w:cs="Arial"/>
          <w:bCs/>
          <w:szCs w:val="20"/>
        </w:rPr>
        <w:t xml:space="preserve"> § 475 lg 1 p 15³ kehtetuks tunnistamisel) ka viite kõrvaldada.</w:t>
      </w:r>
    </w:p>
    <w:p w14:paraId="0595C6E9" w14:textId="77777777" w:rsidR="00574A3E" w:rsidRPr="00A11C48" w:rsidRDefault="00574A3E" w:rsidP="00574A3E">
      <w:pPr>
        <w:jc w:val="both"/>
        <w:rPr>
          <w:rFonts w:cs="Arial"/>
          <w:bCs/>
          <w:szCs w:val="20"/>
        </w:rPr>
      </w:pPr>
    </w:p>
    <w:p w14:paraId="5DFC963C" w14:textId="5A68F81D" w:rsidR="00574A3E" w:rsidRPr="00D00630" w:rsidRDefault="00D00630" w:rsidP="006826C9">
      <w:pPr>
        <w:pStyle w:val="Loendilik"/>
        <w:numPr>
          <w:ilvl w:val="0"/>
          <w:numId w:val="2"/>
        </w:numPr>
        <w:jc w:val="both"/>
        <w:rPr>
          <w:rFonts w:ascii="Arial" w:hAnsi="Arial" w:cs="Arial"/>
          <w:bCs/>
          <w:sz w:val="20"/>
          <w:szCs w:val="20"/>
        </w:rPr>
      </w:pPr>
      <w:r w:rsidRPr="00D00630">
        <w:rPr>
          <w:rFonts w:ascii="Arial" w:hAnsi="Arial" w:cs="Arial"/>
          <w:bCs/>
          <w:sz w:val="20"/>
          <w:szCs w:val="20"/>
        </w:rPr>
        <w:t xml:space="preserve">Juba käesolevasse eelnõusse võiks lisada </w:t>
      </w:r>
      <w:proofErr w:type="spellStart"/>
      <w:r w:rsidRPr="00D00630">
        <w:rPr>
          <w:rFonts w:ascii="Arial" w:hAnsi="Arial" w:cs="Arial"/>
          <w:bCs/>
          <w:sz w:val="20"/>
          <w:szCs w:val="20"/>
        </w:rPr>
        <w:t>TsMS</w:t>
      </w:r>
      <w:proofErr w:type="spellEnd"/>
      <w:r w:rsidRPr="00D00630">
        <w:rPr>
          <w:rFonts w:ascii="Arial" w:hAnsi="Arial" w:cs="Arial"/>
          <w:bCs/>
          <w:sz w:val="20"/>
          <w:szCs w:val="20"/>
        </w:rPr>
        <w:t xml:space="preserve"> §-de 176 ja 177 muutmise lähtudes </w:t>
      </w:r>
      <w:r w:rsidR="00F44DF0">
        <w:rPr>
          <w:rFonts w:ascii="Arial" w:hAnsi="Arial" w:cs="Arial"/>
          <w:bCs/>
          <w:sz w:val="20"/>
          <w:szCs w:val="20"/>
        </w:rPr>
        <w:t xml:space="preserve">üldjoontes </w:t>
      </w:r>
      <w:r w:rsidRPr="00D00630">
        <w:rPr>
          <w:rFonts w:ascii="Arial" w:hAnsi="Arial" w:cs="Arial"/>
          <w:bCs/>
          <w:sz w:val="20"/>
          <w:szCs w:val="20"/>
        </w:rPr>
        <w:t>Teie</w:t>
      </w:r>
      <w:r w:rsidR="00F44DF0">
        <w:rPr>
          <w:rFonts w:ascii="Arial" w:hAnsi="Arial" w:cs="Arial"/>
          <w:bCs/>
          <w:sz w:val="20"/>
          <w:szCs w:val="20"/>
        </w:rPr>
        <w:t xml:space="preserve"> </w:t>
      </w:r>
      <w:r w:rsidRPr="00D00630">
        <w:rPr>
          <w:rFonts w:ascii="Arial" w:hAnsi="Arial" w:cs="Arial"/>
          <w:bCs/>
          <w:sz w:val="20"/>
          <w:szCs w:val="20"/>
        </w:rPr>
        <w:t xml:space="preserve">14.11.2024 kirjas tehtud kohtumenetluse tõhustamise ettepanekutest. Kõnealuse muudatuse võimalikult kiire tegemine leidis toetust ka </w:t>
      </w:r>
      <w:r w:rsidR="00574A3E" w:rsidRPr="00D00630">
        <w:rPr>
          <w:rFonts w:ascii="Arial" w:hAnsi="Arial" w:cs="Arial"/>
          <w:bCs/>
          <w:sz w:val="20"/>
          <w:szCs w:val="20"/>
        </w:rPr>
        <w:t xml:space="preserve">Tallinna Ringkonnakohtu ning Harju ja Pärnu Maakohtute </w:t>
      </w:r>
      <w:r>
        <w:rPr>
          <w:rFonts w:ascii="Arial" w:hAnsi="Arial" w:cs="Arial"/>
          <w:bCs/>
          <w:sz w:val="20"/>
          <w:szCs w:val="20"/>
        </w:rPr>
        <w:t xml:space="preserve">vahel </w:t>
      </w:r>
      <w:r w:rsidR="00574A3E" w:rsidRPr="00D00630">
        <w:rPr>
          <w:rFonts w:ascii="Arial" w:hAnsi="Arial" w:cs="Arial"/>
          <w:bCs/>
          <w:sz w:val="20"/>
          <w:szCs w:val="20"/>
        </w:rPr>
        <w:t xml:space="preserve">22.11.2024 </w:t>
      </w:r>
      <w:r>
        <w:rPr>
          <w:rFonts w:ascii="Arial" w:hAnsi="Arial" w:cs="Arial"/>
          <w:bCs/>
          <w:sz w:val="20"/>
          <w:szCs w:val="20"/>
        </w:rPr>
        <w:t xml:space="preserve">toimunud </w:t>
      </w:r>
      <w:r w:rsidR="00574A3E" w:rsidRPr="00D00630">
        <w:rPr>
          <w:rFonts w:ascii="Arial" w:hAnsi="Arial" w:cs="Arial"/>
          <w:bCs/>
          <w:sz w:val="20"/>
          <w:szCs w:val="20"/>
        </w:rPr>
        <w:t xml:space="preserve">ümarlaual. </w:t>
      </w:r>
      <w:r>
        <w:rPr>
          <w:rFonts w:ascii="Arial" w:hAnsi="Arial" w:cs="Arial"/>
          <w:bCs/>
          <w:sz w:val="20"/>
          <w:szCs w:val="20"/>
        </w:rPr>
        <w:t xml:space="preserve">Veidi erinevalt eelviidatud kirjas välja pakutud sõnastustest </w:t>
      </w:r>
      <w:r w:rsidR="00F44DF0">
        <w:rPr>
          <w:rFonts w:ascii="Arial" w:hAnsi="Arial" w:cs="Arial"/>
          <w:bCs/>
          <w:sz w:val="20"/>
          <w:szCs w:val="20"/>
        </w:rPr>
        <w:t xml:space="preserve">teeme </w:t>
      </w:r>
      <w:r>
        <w:rPr>
          <w:rFonts w:ascii="Arial" w:hAnsi="Arial" w:cs="Arial"/>
          <w:bCs/>
          <w:sz w:val="20"/>
          <w:szCs w:val="20"/>
        </w:rPr>
        <w:t xml:space="preserve">ettepaneku </w:t>
      </w:r>
      <w:r w:rsidR="00F44DF0">
        <w:rPr>
          <w:rFonts w:ascii="Arial" w:hAnsi="Arial" w:cs="Arial"/>
          <w:bCs/>
          <w:sz w:val="20"/>
          <w:szCs w:val="20"/>
        </w:rPr>
        <w:t xml:space="preserve">muuta </w:t>
      </w:r>
      <w:r>
        <w:rPr>
          <w:rFonts w:ascii="Arial" w:hAnsi="Arial" w:cs="Arial"/>
          <w:bCs/>
          <w:sz w:val="20"/>
          <w:szCs w:val="20"/>
        </w:rPr>
        <w:t xml:space="preserve">kõnealuseid sätteid järgmiselt: </w:t>
      </w:r>
    </w:p>
    <w:p w14:paraId="3E1C617A" w14:textId="2123CC7A" w:rsidR="00574A3E" w:rsidRPr="00A11C48" w:rsidRDefault="00D00630" w:rsidP="00574A3E">
      <w:pPr>
        <w:jc w:val="both"/>
        <w:rPr>
          <w:rFonts w:cs="Arial"/>
          <w:bCs/>
          <w:szCs w:val="20"/>
        </w:rPr>
      </w:pPr>
      <w:r>
        <w:rPr>
          <w:rFonts w:cs="Arial"/>
          <w:bCs/>
          <w:szCs w:val="20"/>
        </w:rPr>
        <w:t>„</w:t>
      </w:r>
      <w:r w:rsidR="00574A3E" w:rsidRPr="00A11C48">
        <w:rPr>
          <w:rFonts w:cs="Arial"/>
          <w:bCs/>
          <w:szCs w:val="20"/>
        </w:rPr>
        <w:t>Paragrahvi 176 lõiked 1, 2 ja 4 muudetakse ja sõnastatakse järgmiselt:</w:t>
      </w:r>
    </w:p>
    <w:p w14:paraId="61D44B74" w14:textId="77777777" w:rsidR="00574A3E" w:rsidRPr="00A11C48" w:rsidRDefault="00574A3E" w:rsidP="00574A3E">
      <w:pPr>
        <w:jc w:val="both"/>
        <w:rPr>
          <w:rFonts w:cs="Arial"/>
          <w:bCs/>
          <w:szCs w:val="20"/>
        </w:rPr>
      </w:pPr>
    </w:p>
    <w:p w14:paraId="285F7B95" w14:textId="77777777" w:rsidR="00574A3E" w:rsidRPr="00A11C48" w:rsidRDefault="00574A3E" w:rsidP="00574A3E">
      <w:pPr>
        <w:jc w:val="both"/>
        <w:rPr>
          <w:rFonts w:cs="Arial"/>
          <w:bCs/>
          <w:szCs w:val="20"/>
        </w:rPr>
      </w:pPr>
      <w:r w:rsidRPr="00A11C48">
        <w:rPr>
          <w:rFonts w:cs="Arial"/>
          <w:bCs/>
          <w:szCs w:val="20"/>
        </w:rPr>
        <w:t>„(1) Maakohus määrab menetlusosalistele menetluskulude nimekirja esitamise tähtaja või otsustab, et menetluskulud määratakse rahaliselt kindlaks pärast kohtuotsuse või asja lõpetava määruse jõustumist.</w:t>
      </w:r>
    </w:p>
    <w:p w14:paraId="210FBA13" w14:textId="768B6F2A" w:rsidR="00574A3E" w:rsidRPr="00A11C48" w:rsidRDefault="00574A3E" w:rsidP="00574A3E">
      <w:pPr>
        <w:jc w:val="both"/>
        <w:rPr>
          <w:rFonts w:cs="Arial"/>
          <w:bCs/>
          <w:szCs w:val="20"/>
        </w:rPr>
      </w:pPr>
      <w:r w:rsidRPr="00A11C48">
        <w:rPr>
          <w:rFonts w:cs="Arial"/>
          <w:bCs/>
          <w:szCs w:val="20"/>
        </w:rPr>
        <w:t>(2) Kui asja vaadatakse läbi kohtuistungil ja kohus ei ole otsustanud, et menetluskulud määratakse rahaliselt kindlaks pärast lahendi jõustumist, ega ole määranud menetluskulude nimekirja esitamiseks muud tähtaega, tuleb menetluskulude nimekiri esitada kohtule kolme tööpäeva jooksul pärast viimast istungit. Kui asja menetletakse kirjalikus menetluses ja kohus ei ole otsustanud, et menetluskulud määratakse rahaliselt kindlaks pärast lahendi jõustumist, ega ole määranud menetluskulude nimekirja esitamiseks muud tähtaega, tuleb menetluskulude nimekiri esitada kohtule kirjalike seisukohtade esitamiseks antud tähtaja jooksul.</w:t>
      </w:r>
    </w:p>
    <w:p w14:paraId="73623C32" w14:textId="77777777" w:rsidR="00574A3E" w:rsidRPr="00A11C48" w:rsidRDefault="00574A3E" w:rsidP="00574A3E">
      <w:pPr>
        <w:jc w:val="both"/>
        <w:rPr>
          <w:rFonts w:cs="Arial"/>
          <w:bCs/>
          <w:szCs w:val="20"/>
        </w:rPr>
      </w:pPr>
      <w:r w:rsidRPr="00A11C48">
        <w:rPr>
          <w:rFonts w:cs="Arial"/>
          <w:bCs/>
          <w:szCs w:val="20"/>
        </w:rPr>
        <w:t>(4) Menetluskulude nimekiri esitatakse igas kohtuastmes, kus asja menetletakse, selle kohtuastme menetlusega seonduvate kulude kohta, kui maakohus ei otsustanud, et menetluskulud määratakse rahaliselt kindlaks pärast lahendi jõustumist. Menetluskulude nimekirjas tuleb detailselt näidata kulude koosseis.“</w:t>
      </w:r>
    </w:p>
    <w:p w14:paraId="1AAC4D71" w14:textId="77777777" w:rsidR="00574A3E" w:rsidRPr="00A11C48" w:rsidRDefault="00574A3E" w:rsidP="00574A3E">
      <w:pPr>
        <w:jc w:val="both"/>
        <w:rPr>
          <w:rFonts w:cs="Arial"/>
          <w:bCs/>
          <w:szCs w:val="20"/>
        </w:rPr>
      </w:pPr>
    </w:p>
    <w:p w14:paraId="5F23A484" w14:textId="77777777" w:rsidR="00574A3E" w:rsidRPr="00A11C48" w:rsidRDefault="00574A3E" w:rsidP="00574A3E">
      <w:pPr>
        <w:jc w:val="both"/>
        <w:rPr>
          <w:rFonts w:cs="Arial"/>
          <w:bCs/>
          <w:szCs w:val="20"/>
        </w:rPr>
      </w:pPr>
      <w:r w:rsidRPr="00A11C48">
        <w:rPr>
          <w:rFonts w:cs="Arial"/>
          <w:bCs/>
          <w:szCs w:val="20"/>
        </w:rPr>
        <w:lastRenderedPageBreak/>
        <w:t>Paragrahvi 176 lõiget 8 täiendatakse lausega:</w:t>
      </w:r>
    </w:p>
    <w:p w14:paraId="756B4C31" w14:textId="77777777" w:rsidR="00574A3E" w:rsidRPr="00A11C48" w:rsidRDefault="00574A3E" w:rsidP="00574A3E">
      <w:pPr>
        <w:jc w:val="both"/>
        <w:rPr>
          <w:rFonts w:cs="Arial"/>
          <w:bCs/>
          <w:szCs w:val="20"/>
        </w:rPr>
      </w:pPr>
    </w:p>
    <w:p w14:paraId="3056F7C0" w14:textId="77777777" w:rsidR="00574A3E" w:rsidRPr="00A11C48" w:rsidRDefault="00574A3E" w:rsidP="00574A3E">
      <w:pPr>
        <w:jc w:val="both"/>
        <w:rPr>
          <w:rFonts w:cs="Arial"/>
          <w:bCs/>
          <w:szCs w:val="20"/>
        </w:rPr>
      </w:pPr>
      <w:r w:rsidRPr="00A11C48">
        <w:rPr>
          <w:rFonts w:cs="Arial"/>
          <w:bCs/>
          <w:szCs w:val="20"/>
        </w:rPr>
        <w:t>„Kui kohus ei ole määranud menetluskulude nimekirjale vastamise tähtaega, siis on see kolm tööpäeva alates menetluskulude nimekirja ja tõendite kättetoimetamisest.“</w:t>
      </w:r>
    </w:p>
    <w:p w14:paraId="136B55A6" w14:textId="77777777" w:rsidR="00574A3E" w:rsidRPr="00A11C48" w:rsidRDefault="00574A3E" w:rsidP="00574A3E">
      <w:pPr>
        <w:jc w:val="both"/>
        <w:rPr>
          <w:rFonts w:cs="Arial"/>
          <w:bCs/>
          <w:szCs w:val="20"/>
        </w:rPr>
      </w:pPr>
    </w:p>
    <w:p w14:paraId="17C16D11" w14:textId="77777777" w:rsidR="00574A3E" w:rsidRPr="00A11C48" w:rsidRDefault="00574A3E" w:rsidP="00574A3E">
      <w:pPr>
        <w:jc w:val="both"/>
        <w:rPr>
          <w:rFonts w:cs="Arial"/>
          <w:bCs/>
          <w:szCs w:val="20"/>
        </w:rPr>
      </w:pPr>
      <w:r w:rsidRPr="00A11C48">
        <w:rPr>
          <w:rFonts w:cs="Arial"/>
          <w:bCs/>
          <w:szCs w:val="20"/>
        </w:rPr>
        <w:t>Paragrahvi 177 lõige 2 muudetakse ja sõnastatakse järgmiselt:</w:t>
      </w:r>
    </w:p>
    <w:p w14:paraId="7281DBA5" w14:textId="77777777" w:rsidR="00574A3E" w:rsidRPr="00A11C48" w:rsidRDefault="00574A3E" w:rsidP="00574A3E">
      <w:pPr>
        <w:jc w:val="both"/>
        <w:rPr>
          <w:rFonts w:cs="Arial"/>
          <w:bCs/>
          <w:szCs w:val="20"/>
        </w:rPr>
      </w:pPr>
    </w:p>
    <w:p w14:paraId="7AD44B2A" w14:textId="77777777" w:rsidR="00574A3E" w:rsidRPr="00A11C48" w:rsidRDefault="00574A3E" w:rsidP="00574A3E">
      <w:pPr>
        <w:jc w:val="both"/>
        <w:rPr>
          <w:rFonts w:cs="Arial"/>
          <w:bCs/>
          <w:szCs w:val="20"/>
        </w:rPr>
      </w:pPr>
      <w:r w:rsidRPr="00A11C48">
        <w:rPr>
          <w:rFonts w:cs="Arial"/>
          <w:bCs/>
          <w:szCs w:val="20"/>
        </w:rPr>
        <w:t>„ (2) Kui kohus ei määranud menetluskulude rahalist suurust kindlaks vastavalt käesoleva paragrahvi lõike 1 punktile 1, määrab tsiviilasja sisuliselt lahendanud maakohus menetluskulude suuruse menetlusosalise taotlusel kindlaks määrusega. Menetluskulude kindlaksmääramist võib taotleda 14 päeva jooksul kohtuotsuse või menetlust lõpetava määruse jõustumisest, mis on ühtlasi menetluskulude nimekirja esitamise tähtpäev.“</w:t>
      </w:r>
    </w:p>
    <w:p w14:paraId="3D547EC6" w14:textId="77777777" w:rsidR="00574A3E" w:rsidRPr="00A11C48" w:rsidRDefault="00574A3E" w:rsidP="00574A3E">
      <w:pPr>
        <w:jc w:val="both"/>
        <w:rPr>
          <w:rFonts w:cs="Arial"/>
          <w:bCs/>
          <w:szCs w:val="20"/>
        </w:rPr>
      </w:pPr>
    </w:p>
    <w:p w14:paraId="6D9036C9" w14:textId="77777777" w:rsidR="00574A3E" w:rsidRPr="00A11C48" w:rsidRDefault="00574A3E" w:rsidP="00574A3E">
      <w:pPr>
        <w:jc w:val="both"/>
        <w:rPr>
          <w:rFonts w:cs="Arial"/>
          <w:bCs/>
          <w:szCs w:val="20"/>
        </w:rPr>
      </w:pPr>
    </w:p>
    <w:p w14:paraId="5092BA73" w14:textId="77777777" w:rsidR="00574A3E" w:rsidRPr="00A11C48" w:rsidRDefault="00574A3E" w:rsidP="00574A3E">
      <w:pPr>
        <w:jc w:val="both"/>
        <w:rPr>
          <w:rFonts w:cs="Arial"/>
          <w:bCs/>
          <w:szCs w:val="20"/>
        </w:rPr>
      </w:pPr>
      <w:r w:rsidRPr="00A11C48">
        <w:rPr>
          <w:rFonts w:cs="Arial"/>
          <w:bCs/>
          <w:szCs w:val="20"/>
        </w:rPr>
        <w:t>Lugupidamisega</w:t>
      </w:r>
    </w:p>
    <w:p w14:paraId="2807AA51" w14:textId="77777777" w:rsidR="00574A3E" w:rsidRDefault="00574A3E" w:rsidP="00574A3E">
      <w:pPr>
        <w:jc w:val="both"/>
        <w:rPr>
          <w:rFonts w:cs="Arial"/>
          <w:bCs/>
          <w:szCs w:val="20"/>
        </w:rPr>
      </w:pPr>
    </w:p>
    <w:p w14:paraId="2E2CD675" w14:textId="77777777" w:rsidR="00EF01BF" w:rsidRPr="00A11C48" w:rsidRDefault="00EF01BF" w:rsidP="00574A3E">
      <w:pPr>
        <w:jc w:val="both"/>
        <w:rPr>
          <w:rFonts w:cs="Arial"/>
          <w:bCs/>
          <w:szCs w:val="20"/>
        </w:rPr>
      </w:pPr>
    </w:p>
    <w:p w14:paraId="1A29F00E" w14:textId="795B2140" w:rsidR="00EF01BF" w:rsidRDefault="00EF01BF" w:rsidP="00574A3E">
      <w:pPr>
        <w:spacing w:line="259" w:lineRule="auto"/>
        <w:jc w:val="both"/>
        <w:rPr>
          <w:rFonts w:cs="Arial"/>
          <w:bCs/>
          <w:szCs w:val="20"/>
        </w:rPr>
      </w:pPr>
      <w:r>
        <w:rPr>
          <w:rFonts w:cs="Arial"/>
          <w:bCs/>
          <w:i/>
          <w:iCs/>
          <w:szCs w:val="20"/>
        </w:rPr>
        <w:t>/</w:t>
      </w:r>
      <w:r w:rsidRPr="00EF01BF">
        <w:rPr>
          <w:rFonts w:cs="Arial"/>
          <w:bCs/>
          <w:i/>
          <w:iCs/>
          <w:szCs w:val="20"/>
        </w:rPr>
        <w:t>allkirjastatud digitaalselt</w:t>
      </w:r>
      <w:r>
        <w:rPr>
          <w:rFonts w:cs="Arial"/>
          <w:bCs/>
          <w:i/>
          <w:iCs/>
          <w:szCs w:val="20"/>
        </w:rPr>
        <w:t>/</w:t>
      </w:r>
    </w:p>
    <w:p w14:paraId="115FB1FF" w14:textId="0DB95621" w:rsidR="00574A3E" w:rsidRPr="00A11C48" w:rsidRDefault="00574A3E" w:rsidP="00574A3E">
      <w:pPr>
        <w:spacing w:line="259" w:lineRule="auto"/>
        <w:jc w:val="both"/>
        <w:rPr>
          <w:rFonts w:cs="Arial"/>
          <w:bCs/>
          <w:szCs w:val="20"/>
        </w:rPr>
      </w:pPr>
      <w:r w:rsidRPr="00A11C48">
        <w:rPr>
          <w:rFonts w:cs="Arial"/>
          <w:bCs/>
          <w:szCs w:val="20"/>
        </w:rPr>
        <w:t>Kristjan Siigur</w:t>
      </w:r>
    </w:p>
    <w:p w14:paraId="1F3C38FD" w14:textId="77777777" w:rsidR="00574A3E" w:rsidRPr="00A11C48" w:rsidRDefault="00574A3E" w:rsidP="00574A3E">
      <w:pPr>
        <w:spacing w:line="259" w:lineRule="auto"/>
        <w:jc w:val="both"/>
        <w:rPr>
          <w:rFonts w:cs="Arial"/>
          <w:bCs/>
          <w:szCs w:val="20"/>
        </w:rPr>
      </w:pPr>
      <w:r w:rsidRPr="00A11C48">
        <w:rPr>
          <w:rFonts w:cs="Arial"/>
          <w:bCs/>
          <w:szCs w:val="20"/>
        </w:rPr>
        <w:t>Tallinna Ringkonnakohtu esimees</w:t>
      </w:r>
    </w:p>
    <w:p w14:paraId="646301F9" w14:textId="77777777" w:rsidR="00574A3E" w:rsidRPr="00A11C48" w:rsidRDefault="00574A3E" w:rsidP="00574A3E">
      <w:pPr>
        <w:spacing w:line="259" w:lineRule="auto"/>
        <w:jc w:val="both"/>
        <w:rPr>
          <w:rFonts w:cs="Arial"/>
          <w:bCs/>
          <w:szCs w:val="20"/>
        </w:rPr>
      </w:pPr>
    </w:p>
    <w:p w14:paraId="4D662917" w14:textId="4AC59B6E" w:rsidR="00574A3E" w:rsidRPr="00A11C48" w:rsidRDefault="00574A3E" w:rsidP="00574A3E">
      <w:pPr>
        <w:rPr>
          <w:rFonts w:cs="Arial"/>
          <w:szCs w:val="20"/>
        </w:rPr>
      </w:pPr>
    </w:p>
    <w:sectPr w:rsidR="00574A3E" w:rsidRPr="00A11C48"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9E7DC" w14:textId="77777777" w:rsidR="003353E0" w:rsidRDefault="003353E0" w:rsidP="00DA1915">
      <w:r>
        <w:separator/>
      </w:r>
    </w:p>
  </w:endnote>
  <w:endnote w:type="continuationSeparator" w:id="0">
    <w:p w14:paraId="26606703" w14:textId="77777777" w:rsidR="003353E0" w:rsidRDefault="003353E0"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7A61B1CE" w14:textId="77777777" w:rsidR="007B7B17" w:rsidRDefault="007B7B17" w:rsidP="007B7B17">
                          <w:pPr>
                            <w:jc w:val="center"/>
                            <w:rPr>
                              <w:rStyle w:val="Hperlink"/>
                              <w:rFonts w:cs="Arial"/>
                              <w:color w:val="FFFFFF" w:themeColor="background1"/>
                              <w:sz w:val="19"/>
                              <w:szCs w:val="19"/>
                            </w:rPr>
                          </w:pPr>
                          <w:r w:rsidRPr="0073644E">
                            <w:rPr>
                              <w:rFonts w:cs="Arial"/>
                              <w:color w:val="FFFFFF" w:themeColor="background1"/>
                              <w:sz w:val="19"/>
                              <w:szCs w:val="19"/>
                            </w:rPr>
                            <w:t xml:space="preserve">Aadress: Pärnu mnt 7, 15084 Tallinn; registrikood 74001943; telefon: 628 2784;e-post: </w:t>
                          </w:r>
                          <w:hyperlink r:id="rId1" w:history="1">
                            <w:r w:rsidRPr="0073644E">
                              <w:rPr>
                                <w:rStyle w:val="Hperlink"/>
                                <w:rFonts w:cs="Arial"/>
                                <w:color w:val="FFFFFF" w:themeColor="background1"/>
                                <w:sz w:val="19"/>
                                <w:szCs w:val="19"/>
                              </w:rPr>
                              <w:t>talrk.info@kohus.ee</w:t>
                            </w:r>
                          </w:hyperlink>
                          <w:r w:rsidRPr="0073644E">
                            <w:rPr>
                              <w:rStyle w:val="Hperlink"/>
                              <w:rFonts w:cs="Arial"/>
                              <w:color w:val="FFFFFF" w:themeColor="background1"/>
                              <w:sz w:val="19"/>
                              <w:szCs w:val="19"/>
                            </w:rPr>
                            <w:t xml:space="preserve">  </w:t>
                          </w:r>
                        </w:p>
                        <w:p w14:paraId="10EF35D1" w14:textId="77777777" w:rsidR="007B7B17" w:rsidRPr="0062638A" w:rsidRDefault="007B7B17" w:rsidP="007B7B17">
                          <w:pPr>
                            <w:jc w:val="center"/>
                            <w:rPr>
                              <w:rFonts w:cs="Arial"/>
                              <w:color w:val="FFFFFF" w:themeColor="background1"/>
                              <w:sz w:val="19"/>
                              <w:szCs w:val="19"/>
                            </w:rPr>
                          </w:pPr>
                          <w:r w:rsidRPr="0073644E">
                            <w:rPr>
                              <w:rFonts w:eastAsia="Times New Roman" w:cs="Arial"/>
                              <w:color w:val="FFFFFF" w:themeColor="background1"/>
                              <w:sz w:val="19"/>
                              <w:szCs w:val="19"/>
                              <w:lang w:eastAsia="et-EE"/>
                            </w:rPr>
                            <w:t xml:space="preserve">Lisainfo: </w:t>
                          </w:r>
                          <w:hyperlink r:id="rId2" w:history="1">
                            <w:r w:rsidRPr="0073644E">
                              <w:rPr>
                                <w:rStyle w:val="Hperlink"/>
                                <w:rFonts w:eastAsia="Times New Roman" w:cs="Arial"/>
                                <w:color w:val="FFFFFF" w:themeColor="background1"/>
                                <w:sz w:val="19"/>
                                <w:szCs w:val="19"/>
                                <w:lang w:eastAsia="et-EE"/>
                              </w:rPr>
                              <w:t>www.kohus.ee</w:t>
                            </w:r>
                          </w:hyperlink>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7A61B1CE" w14:textId="77777777" w:rsidR="007B7B17" w:rsidRDefault="007B7B17" w:rsidP="007B7B17">
                    <w:pPr>
                      <w:jc w:val="center"/>
                      <w:rPr>
                        <w:rStyle w:val="Hperlink"/>
                        <w:rFonts w:cs="Arial"/>
                        <w:color w:val="FFFFFF" w:themeColor="background1"/>
                        <w:sz w:val="19"/>
                        <w:szCs w:val="19"/>
                      </w:rPr>
                    </w:pPr>
                    <w:r w:rsidRPr="0073644E">
                      <w:rPr>
                        <w:rFonts w:cs="Arial"/>
                        <w:color w:val="FFFFFF" w:themeColor="background1"/>
                        <w:sz w:val="19"/>
                        <w:szCs w:val="19"/>
                      </w:rPr>
                      <w:t xml:space="preserve">Aadress: Pärnu mnt 7, 15084 Tallinn; registrikood 74001943; telefon: 628 2784;e-post: </w:t>
                    </w:r>
                    <w:hyperlink r:id="rId3" w:history="1">
                      <w:r w:rsidRPr="0073644E">
                        <w:rPr>
                          <w:rStyle w:val="Hperlink"/>
                          <w:rFonts w:cs="Arial"/>
                          <w:color w:val="FFFFFF" w:themeColor="background1"/>
                          <w:sz w:val="19"/>
                          <w:szCs w:val="19"/>
                        </w:rPr>
                        <w:t>talrk.info@kohus.ee</w:t>
                      </w:r>
                    </w:hyperlink>
                    <w:r w:rsidRPr="0073644E">
                      <w:rPr>
                        <w:rStyle w:val="Hperlink"/>
                        <w:rFonts w:cs="Arial"/>
                        <w:color w:val="FFFFFF" w:themeColor="background1"/>
                        <w:sz w:val="19"/>
                        <w:szCs w:val="19"/>
                      </w:rPr>
                      <w:t xml:space="preserve">  </w:t>
                    </w:r>
                  </w:p>
                  <w:p w14:paraId="10EF35D1" w14:textId="77777777" w:rsidR="007B7B17" w:rsidRPr="0062638A" w:rsidRDefault="007B7B17" w:rsidP="007B7B17">
                    <w:pPr>
                      <w:jc w:val="center"/>
                      <w:rPr>
                        <w:rFonts w:cs="Arial"/>
                        <w:color w:val="FFFFFF" w:themeColor="background1"/>
                        <w:sz w:val="19"/>
                        <w:szCs w:val="19"/>
                      </w:rPr>
                    </w:pPr>
                    <w:r w:rsidRPr="0073644E">
                      <w:rPr>
                        <w:rFonts w:eastAsia="Times New Roman" w:cs="Arial"/>
                        <w:color w:val="FFFFFF" w:themeColor="background1"/>
                        <w:sz w:val="19"/>
                        <w:szCs w:val="19"/>
                        <w:lang w:eastAsia="et-EE"/>
                      </w:rPr>
                      <w:t xml:space="preserve">Lisainfo: </w:t>
                    </w:r>
                    <w:hyperlink r:id="rId4" w:history="1">
                      <w:r w:rsidRPr="0073644E">
                        <w:rPr>
                          <w:rStyle w:val="Hperlink"/>
                          <w:rFonts w:eastAsia="Times New Roman" w:cs="Arial"/>
                          <w:color w:val="FFFFFF" w:themeColor="background1"/>
                          <w:sz w:val="19"/>
                          <w:szCs w:val="19"/>
                          <w:lang w:eastAsia="et-EE"/>
                        </w:rPr>
                        <w:t>www.kohus.ee</w:t>
                      </w:r>
                    </w:hyperlink>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30EB9" w14:textId="77777777" w:rsidR="003353E0" w:rsidRDefault="003353E0" w:rsidP="00DA1915">
      <w:r>
        <w:separator/>
      </w:r>
    </w:p>
  </w:footnote>
  <w:footnote w:type="continuationSeparator" w:id="0">
    <w:p w14:paraId="6692BF7F" w14:textId="77777777" w:rsidR="003353E0" w:rsidRDefault="003353E0"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C700" w14:textId="3371950F" w:rsidR="00C94E3C" w:rsidRDefault="007B7B17">
    <w:pPr>
      <w:pStyle w:val="Pis"/>
    </w:pPr>
    <w:r w:rsidRPr="004C3C33">
      <w:rPr>
        <w:noProof/>
        <w:lang w:eastAsia="et-EE"/>
      </w:rPr>
      <w:drawing>
        <wp:anchor distT="0" distB="0" distL="114300" distR="114300" simplePos="0" relativeHeight="251677696" behindDoc="0" locked="0" layoutInCell="1" allowOverlap="1" wp14:anchorId="27702E74" wp14:editId="7EC84110">
          <wp:simplePos x="0" y="0"/>
          <wp:positionH relativeFrom="page">
            <wp:align>center</wp:align>
          </wp:positionH>
          <wp:positionV relativeFrom="page">
            <wp:align>top</wp:align>
          </wp:positionV>
          <wp:extent cx="2401200" cy="144000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0" locked="0" layoutInCell="1" allowOverlap="1" wp14:anchorId="56118C56" wp14:editId="473766DA">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6C9C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F33D9"/>
    <w:multiLevelType w:val="hybridMultilevel"/>
    <w:tmpl w:val="1A94E4E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4227FF4"/>
    <w:multiLevelType w:val="hybridMultilevel"/>
    <w:tmpl w:val="0A6055C0"/>
    <w:lvl w:ilvl="0" w:tplc="39329D02">
      <w:start w:val="1"/>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5376854">
    <w:abstractNumId w:val="0"/>
  </w:num>
  <w:num w:numId="2" w16cid:durableId="92518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50D1F"/>
    <w:rsid w:val="000D7F91"/>
    <w:rsid w:val="00101A1A"/>
    <w:rsid w:val="00130A2F"/>
    <w:rsid w:val="0014222F"/>
    <w:rsid w:val="001444F8"/>
    <w:rsid w:val="00155A80"/>
    <w:rsid w:val="0016482D"/>
    <w:rsid w:val="001A0D48"/>
    <w:rsid w:val="001C4756"/>
    <w:rsid w:val="001C7565"/>
    <w:rsid w:val="001D3DFA"/>
    <w:rsid w:val="002142C8"/>
    <w:rsid w:val="00224945"/>
    <w:rsid w:val="00225B96"/>
    <w:rsid w:val="002719AB"/>
    <w:rsid w:val="003353E0"/>
    <w:rsid w:val="003A6D85"/>
    <w:rsid w:val="003D41E3"/>
    <w:rsid w:val="003F0460"/>
    <w:rsid w:val="003F6F57"/>
    <w:rsid w:val="004365BC"/>
    <w:rsid w:val="004900A5"/>
    <w:rsid w:val="004A1192"/>
    <w:rsid w:val="0051481A"/>
    <w:rsid w:val="0055716E"/>
    <w:rsid w:val="00572025"/>
    <w:rsid w:val="00574A3E"/>
    <w:rsid w:val="005F0FF9"/>
    <w:rsid w:val="005F40CD"/>
    <w:rsid w:val="005F41C1"/>
    <w:rsid w:val="005F4BF1"/>
    <w:rsid w:val="0062779E"/>
    <w:rsid w:val="00642878"/>
    <w:rsid w:val="006444D2"/>
    <w:rsid w:val="006A69E8"/>
    <w:rsid w:val="006B1210"/>
    <w:rsid w:val="006D5809"/>
    <w:rsid w:val="006F02D2"/>
    <w:rsid w:val="00791DB2"/>
    <w:rsid w:val="007B7B17"/>
    <w:rsid w:val="00800289"/>
    <w:rsid w:val="00811E61"/>
    <w:rsid w:val="00853630"/>
    <w:rsid w:val="00873A81"/>
    <w:rsid w:val="008B0D86"/>
    <w:rsid w:val="008F0FC9"/>
    <w:rsid w:val="00943857"/>
    <w:rsid w:val="0094633F"/>
    <w:rsid w:val="0096187E"/>
    <w:rsid w:val="009B5A17"/>
    <w:rsid w:val="009E05EA"/>
    <w:rsid w:val="00A11C48"/>
    <w:rsid w:val="00A252B8"/>
    <w:rsid w:val="00A279CA"/>
    <w:rsid w:val="00A3029D"/>
    <w:rsid w:val="00A52543"/>
    <w:rsid w:val="00AA2AFB"/>
    <w:rsid w:val="00AB2218"/>
    <w:rsid w:val="00B310B5"/>
    <w:rsid w:val="00B57933"/>
    <w:rsid w:val="00B85165"/>
    <w:rsid w:val="00C06D00"/>
    <w:rsid w:val="00C37697"/>
    <w:rsid w:val="00C8651B"/>
    <w:rsid w:val="00C94E3C"/>
    <w:rsid w:val="00CB7D32"/>
    <w:rsid w:val="00CC5B66"/>
    <w:rsid w:val="00D00630"/>
    <w:rsid w:val="00DA1915"/>
    <w:rsid w:val="00DD415C"/>
    <w:rsid w:val="00DE4BBF"/>
    <w:rsid w:val="00DF17D0"/>
    <w:rsid w:val="00E349D5"/>
    <w:rsid w:val="00E40D30"/>
    <w:rsid w:val="00E7252F"/>
    <w:rsid w:val="00E736B1"/>
    <w:rsid w:val="00EB0DA6"/>
    <w:rsid w:val="00ED24E6"/>
    <w:rsid w:val="00EE667C"/>
    <w:rsid w:val="00EF01BF"/>
    <w:rsid w:val="00F44DF0"/>
    <w:rsid w:val="00F55873"/>
    <w:rsid w:val="00F674D0"/>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Kehatekst">
    <w:name w:val="Body Text"/>
    <w:basedOn w:val="Normaallaad"/>
    <w:link w:val="KehatekstMrk"/>
    <w:uiPriority w:val="99"/>
    <w:unhideWhenUsed/>
    <w:rsid w:val="00800289"/>
    <w:pPr>
      <w:spacing w:after="120"/>
    </w:pPr>
  </w:style>
  <w:style w:type="character" w:customStyle="1" w:styleId="KehatekstMrk">
    <w:name w:val="Kehatekst Märk"/>
    <w:basedOn w:val="Liguvaikefont"/>
    <w:link w:val="Kehatekst"/>
    <w:uiPriority w:val="99"/>
    <w:rsid w:val="00800289"/>
    <w:rPr>
      <w:rFonts w:ascii="Arial" w:hAnsi="Arial"/>
      <w:sz w:val="20"/>
      <w:lang w:val="et-EE"/>
    </w:rPr>
  </w:style>
  <w:style w:type="paragraph" w:styleId="Loendilik">
    <w:name w:val="List Paragraph"/>
    <w:basedOn w:val="Normaallaad"/>
    <w:uiPriority w:val="34"/>
    <w:qFormat/>
    <w:rsid w:val="00574A3E"/>
    <w:pPr>
      <w:spacing w:after="160" w:line="256" w:lineRule="auto"/>
      <w:ind w:left="720"/>
      <w:contextualSpacing/>
    </w:pPr>
    <w:rPr>
      <w:rFonts w:asciiTheme="minorHAnsi" w:hAnsiTheme="minorHAnsi"/>
      <w:kern w:val="2"/>
      <w:sz w:val="22"/>
      <w:szCs w:val="22"/>
      <w14:ligatures w14:val="standardContextual"/>
    </w:rPr>
  </w:style>
  <w:style w:type="character" w:styleId="Kommentaariviide">
    <w:name w:val="annotation reference"/>
    <w:basedOn w:val="Liguvaikefont"/>
    <w:uiPriority w:val="99"/>
    <w:semiHidden/>
    <w:unhideWhenUsed/>
    <w:rsid w:val="00EF01BF"/>
    <w:rPr>
      <w:sz w:val="16"/>
      <w:szCs w:val="16"/>
    </w:rPr>
  </w:style>
  <w:style w:type="paragraph" w:styleId="Kommentaaritekst">
    <w:name w:val="annotation text"/>
    <w:basedOn w:val="Normaallaad"/>
    <w:link w:val="KommentaaritekstMrk"/>
    <w:uiPriority w:val="99"/>
    <w:unhideWhenUsed/>
    <w:rsid w:val="00EF01BF"/>
    <w:rPr>
      <w:szCs w:val="20"/>
    </w:rPr>
  </w:style>
  <w:style w:type="character" w:customStyle="1" w:styleId="KommentaaritekstMrk">
    <w:name w:val="Kommentaari tekst Märk"/>
    <w:basedOn w:val="Liguvaikefont"/>
    <w:link w:val="Kommentaaritekst"/>
    <w:uiPriority w:val="99"/>
    <w:rsid w:val="00EF01BF"/>
    <w:rPr>
      <w:rFonts w:ascii="Arial" w:hAnsi="Arial"/>
      <w:sz w:val="20"/>
      <w:szCs w:val="20"/>
      <w:lang w:val="et-EE"/>
    </w:rPr>
  </w:style>
  <w:style w:type="paragraph" w:styleId="Kommentaariteema">
    <w:name w:val="annotation subject"/>
    <w:basedOn w:val="Kommentaaritekst"/>
    <w:next w:val="Kommentaaritekst"/>
    <w:link w:val="KommentaariteemaMrk"/>
    <w:uiPriority w:val="99"/>
    <w:semiHidden/>
    <w:unhideWhenUsed/>
    <w:rsid w:val="00EF01BF"/>
    <w:rPr>
      <w:b/>
      <w:bCs/>
    </w:rPr>
  </w:style>
  <w:style w:type="character" w:customStyle="1" w:styleId="KommentaariteemaMrk">
    <w:name w:val="Kommentaari teema Märk"/>
    <w:basedOn w:val="KommentaaritekstMrk"/>
    <w:link w:val="Kommentaariteema"/>
    <w:uiPriority w:val="99"/>
    <w:semiHidden/>
    <w:rsid w:val="00EF01BF"/>
    <w:rPr>
      <w:rFonts w:ascii="Arial" w:hAnsi="Arial"/>
      <w:b/>
      <w:bCs/>
      <w:sz w:val="20"/>
      <w:szCs w:val="20"/>
      <w:lang w:val="et-EE"/>
    </w:rPr>
  </w:style>
  <w:style w:type="paragraph" w:styleId="Redaktsioon">
    <w:name w:val="Revision"/>
    <w:hidden/>
    <w:uiPriority w:val="99"/>
    <w:semiHidden/>
    <w:rsid w:val="008B0D86"/>
    <w:rPr>
      <w:rFonts w:ascii="Arial" w:hAnsi="Arial"/>
      <w:sz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alrk.info@kohus.ee" TargetMode="External"/><Relationship Id="rId2" Type="http://schemas.openxmlformats.org/officeDocument/2006/relationships/hyperlink" Target="http://www.kohus.ee" TargetMode="External"/><Relationship Id="rId1" Type="http://schemas.openxmlformats.org/officeDocument/2006/relationships/hyperlink" Target="mailto:talr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CDDB-AFD6-47EA-AC11-B03C3CC4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3092</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Kristi Arro</cp:lastModifiedBy>
  <cp:revision>3</cp:revision>
  <dcterms:created xsi:type="dcterms:W3CDTF">2024-12-02T07:57:00Z</dcterms:created>
  <dcterms:modified xsi:type="dcterms:W3CDTF">2024-12-02T08:01:00Z</dcterms:modified>
</cp:coreProperties>
</file>